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6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358"/>
        <w:gridCol w:w="733"/>
        <w:gridCol w:w="1384"/>
        <w:gridCol w:w="1166"/>
        <w:gridCol w:w="2450"/>
        <w:gridCol w:w="65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温州瓯海科技产业发展集团有限公司2026年上半年招聘工作人员岗位计划表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5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综合文员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1996年1月1日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（含）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以后出生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工商管理类、公共管理类、中文语言文学类、新闻传播学类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有2年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以上综合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相关工作经验；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2.具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有较强文字编辑能力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熟练操作办公软件；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3.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工作细致、责任心强，具备良好的沟通能力和团队协作精神。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行政综合文员（物业管理与酒店管理方向）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1991年1月1日（含）以后出生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工商管理类、公共管理类、中文语言文学类、新闻传播学类、房地产类、房地产开发与管理、房地产经营管理、酒店管理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有行政综合管理等相关工作经验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熟练操作excel、word等常用办公软件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3.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沟通清晰，能高效对接内外部部门，协调各类事务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4.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工作细致、责任心强，具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良好的沟通能力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团队协作精神和良好的服务意识。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资产管理员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1996年1月1日（含）以后出生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专业不限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1年及以上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固定资产管理或行政后勤或物业服务或房地产经纪或楼盘管理等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相关领域工作经验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2.工作细致、责任心强，具备良好的沟通能力和团队协作精神。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物管专员（物业管理方向）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1991年1月1日（含）以后出生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工商管理类、公共管理类、房地产类、房地产开发与管理、房地产经营管理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有3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以上物业项目运营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相关工作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经验，熟悉物业管理流程和相关法律法规；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具备良好的沟通协调能力和客户服务意识，能够妥善处理业主投诉和纠纷；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3.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工作细致、责任心强，具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良好的沟通能力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团队协作精神和良好的服务意识。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公寓管理员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1991年1月1日（含）以后出生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工商管理类、公共管理类、房地产类、房地产开发与管理、房地产经营管理、酒店管理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有1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以上公寓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管理或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物业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相关工作经验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精通日常维修协调、租务跟进、费用收缴及突发事件初步处理；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具备基础数据分析能力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熟练使用办公软件及物业管理系统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工作细致、责任心强，具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良好的沟通能力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团队协作精神和良好的服务意识。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jZiYWU5MDMyMzllZGI1ODNkZTNmNTQ1Y2Y4YmQifQ=="/>
  </w:docVars>
  <w:rsids>
    <w:rsidRoot w:val="7C3C2A3C"/>
    <w:rsid w:val="7C3C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2026-01-26T07:57:00Z</dcterms:created>
  <dc:creator>胡思怡</dc:creator>
  <cp:lastModifiedBy>胡思怡</cp:lastModifiedBy>
  <dcterms:modified xsi:type="dcterms:W3CDTF">2026-01-26T07:57:59Z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83DE7989693C429DA89653B594BF5244_11</vt:lpwstr>
  </property>
</Properties>
</file>